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numPr>
          <w:ilvl w:val="0"/>
          <w:numId w:val="1"/>
        </w:numPr>
        <w:spacing w:after="240" w:before="240" w:lineRule="auto"/>
        <w:ind w:left="432" w:hanging="432"/>
        <w:rPr>
          <w:rFonts w:ascii="Titillium" w:cs="Titillium" w:eastAsia="Titillium" w:hAnsi="Titillium"/>
          <w:sz w:val="20"/>
          <w:szCs w:val="20"/>
        </w:rPr>
      </w:pPr>
      <w:r w:rsidDel="00000000" w:rsidR="00000000" w:rsidRPr="00000000">
        <w:rPr>
          <w:rFonts w:ascii="Titillium" w:cs="Titillium" w:eastAsia="Titillium" w:hAnsi="Titillium"/>
          <w:sz w:val="20"/>
          <w:szCs w:val="20"/>
          <w:rtl w:val="0"/>
        </w:rPr>
        <w:t xml:space="preserve">Scheda di sintesi sulla rilevazione degli OIV o organismi con funzioni analoghe</w:t>
      </w:r>
      <w:r w:rsidDel="00000000" w:rsidR="00000000" w:rsidRPr="00000000">
        <w:drawing>
          <wp:anchor allowOverlap="1" behindDoc="0" distB="127000" distT="0" distL="0" distR="0" hidden="0" layoutInCell="1" locked="0" relativeHeight="0" simplePos="0">
            <wp:simplePos x="0" y="0"/>
            <wp:positionH relativeFrom="column">
              <wp:posOffset>-100964</wp:posOffset>
            </wp:positionH>
            <wp:positionV relativeFrom="paragraph">
              <wp:posOffset>-899794</wp:posOffset>
            </wp:positionV>
            <wp:extent cx="2878920" cy="340920"/>
            <wp:effectExtent b="0" l="0" r="0" t="0"/>
            <wp:wrapSquare wrapText="bothSides" distB="12700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8920" cy="340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tillium" w:cs="Titillium" w:eastAsia="Titillium" w:hAnsi="Titillium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tillium" w:cs="Titillium" w:eastAsia="Titillium" w:hAnsi="Titillium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di svolgimento della rilevazione</w:t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rilevazione si è svolta nel mese di maggio 2021: possiamo indicare come data di inizio della rilevazione il 10/05/2021, data nella quale si è iniziato a verificare gli elementi necessari alla rilevazione, mentre si individua come data di fine rilevazione il 31/05/2021.</w:t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tillium" w:cs="Titillium" w:eastAsia="Titillium" w:hAnsi="Titillium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tillium" w:cs="Titillium" w:eastAsia="Titillium" w:hAnsi="Titillium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Estensione della rilevazione (nel solo caso di amministrazioni/enti con uffici periferici)</w:t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tillium" w:cs="Titillium" w:eastAsia="Titillium" w:hAnsi="Titill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Anci Toscana non ha uffici periferici ma solo sedi distaccate, che sono state prese in considerazione, seppur non significative ai fini della presente rilevazione.</w:t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Titillium" w:cs="Titillium" w:eastAsia="Titillium" w:hAnsi="Titillium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tillium" w:cs="Titillium" w:eastAsia="Titillium" w:hAnsi="Titillium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Procedure e modalità seguite per la rilevazione </w:t>
      </w:r>
    </w:p>
    <w:p w:rsidR="00000000" w:rsidDel="00000000" w:rsidP="00000000" w:rsidRDefault="00000000" w:rsidRPr="00000000" w14:paraId="0000000B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rilevazione è stata condotta dal Responsabile della prevenzione della corruzione e della trasparenza, supportato dal personale incaricato della verifica degli adempimenti relativi agli obblighi di pubblicazione.</w:t>
      </w:r>
    </w:p>
    <w:p w:rsidR="00000000" w:rsidDel="00000000" w:rsidP="00000000" w:rsidRDefault="00000000" w:rsidRPr="00000000" w14:paraId="0000000C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personale incaricato ha verificato direttamente sul sito istituzionale la pubblicazione dei dati, nonché la congruità dei formati in cui dati e documenti sono stati pubblicati, approfondendo la correttezza di quanto pubblicato anche attraverso colloqui con i referenti </w:t>
      </w:r>
      <w:r w:rsidDel="00000000" w:rsidR="00000000" w:rsidRPr="00000000"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(referenti ad oggi non ancora formalizzati)</w:t>
      </w:r>
      <w:r w:rsidDel="00000000" w:rsidR="00000000" w:rsidRPr="00000000"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per la trasmissione e la pubblicazione dei dati. Agli stessi referenti è stata sollecitata la pubblicazione in caso di assenza dei dati richiesti.</w:t>
      </w:r>
    </w:p>
    <w:p w:rsidR="00000000" w:rsidDel="00000000" w:rsidP="00000000" w:rsidRDefault="00000000" w:rsidRPr="00000000" w14:paraId="0000000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tillium" w:cs="Titillium" w:eastAsia="Titillium" w:hAnsi="Titillium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tillium" w:cs="Titillium" w:eastAsia="Titillium" w:hAnsi="Titillium"/>
          <w:b w:val="1"/>
          <w:i w:val="1"/>
          <w:sz w:val="20"/>
          <w:szCs w:val="20"/>
        </w:rPr>
      </w:pPr>
      <w:r w:rsidDel="00000000" w:rsidR="00000000" w:rsidRPr="00000000">
        <w:rPr>
          <w:rFonts w:ascii="Titillium" w:cs="Titillium" w:eastAsia="Titillium" w:hAnsi="Titillium"/>
          <w:b w:val="1"/>
          <w:i w:val="1"/>
          <w:sz w:val="20"/>
          <w:szCs w:val="20"/>
          <w:rtl w:val="0"/>
        </w:rPr>
        <w:t xml:space="preserve">Aspetti critici riscontrati nel corso della rilevazione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Fonts w:ascii="Titillium" w:cs="Titillium" w:eastAsia="Titillium" w:hAnsi="Titillium"/>
          <w:b w:val="0"/>
          <w:sz w:val="20"/>
          <w:szCs w:val="20"/>
          <w:u w:val="none"/>
          <w:rtl w:val="0"/>
        </w:rPr>
        <w:t xml:space="preserve">L'unica criticità riscontrata è stata l'individuazione della tipologia di Ente nella quale rientra Anci Toscana, a causa della “atipicità” dell'organizzazione rispetto ad altri soggetti tenuti alla pubblicazione dei dati. La criticità è stata superata interpellando soggetti esperti in materia e condividendo con loro la classificazione di Anci Toscana tra gli </w:t>
      </w:r>
      <w:r w:rsidDel="00000000" w:rsidR="00000000" w:rsidRPr="00000000">
        <w:rPr>
          <w:rFonts w:ascii="Titillium" w:cs="Titillium" w:eastAsia="Titillium" w:hAnsi="Titillium"/>
          <w:b w:val="0"/>
          <w:color w:val="000000"/>
          <w:sz w:val="20"/>
          <w:szCs w:val="20"/>
          <w:u w:val="none"/>
          <w:rtl w:val="0"/>
        </w:rPr>
        <w:t xml:space="preserve">Enti pubblici economici, società e enti di diritto privato in controllo pubblico.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tillium" w:cs="Titillium" w:eastAsia="Titillium" w:hAnsi="Titillium"/>
          <w:b w:val="0"/>
          <w:sz w:val="20"/>
          <w:szCs w:val="20"/>
          <w:u w:val="none"/>
        </w:rPr>
      </w:pPr>
      <w:r w:rsidDel="00000000" w:rsidR="00000000" w:rsidRPr="00000000">
        <w:rPr>
          <w:rFonts w:ascii="Titillium" w:cs="Titillium" w:eastAsia="Titillium" w:hAnsi="Titillium"/>
          <w:b w:val="0"/>
          <w:sz w:val="20"/>
          <w:szCs w:val="20"/>
          <w:u w:val="none"/>
          <w:rtl w:val="0"/>
        </w:rPr>
        <w:t xml:space="preserve">Anche in considerazione del fatto che Anci Toscana rientra tra le organizzazioni più piccole, e nonostante il rallentamento di alcune attività ordinarie a causa del perdurare dell’emergenza sanitaria, a favore di nuove attività di supporto ai comuni associati, non si ravvisano ulteriori aspetti critici.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Si fa inoltre presente che Anci Toscana è attualmente in fase di migrazione dei contenuti della sezione Amministrazione Trasparenza dal sito </w:t>
      </w:r>
      <w:hyperlink r:id="rId7">
        <w:r w:rsidDel="00000000" w:rsidR="00000000" w:rsidRPr="00000000">
          <w:rPr>
            <w:color w:val="000080"/>
            <w:sz w:val="20"/>
            <w:szCs w:val="20"/>
            <w:u w:val="single"/>
            <w:rtl w:val="0"/>
          </w:rPr>
          <w:t xml:space="preserve">www.ancitoscan</w:t>
        </w:r>
      </w:hyperlink>
      <w:hyperlink r:id="rId8">
        <w:r w:rsidDel="00000000" w:rsidR="00000000" w:rsidRPr="00000000">
          <w:rPr>
            <w:b w:val="0"/>
            <w:color w:val="000080"/>
            <w:sz w:val="20"/>
            <w:szCs w:val="20"/>
            <w:u w:val="single"/>
            <w:rtl w:val="0"/>
          </w:rPr>
          <w:t xml:space="preserve">a.it</w:t>
        </w:r>
      </w:hyperlink>
      <w:r w:rsidDel="00000000" w:rsidR="00000000" w:rsidRPr="00000000">
        <w:rPr>
          <w:b w:val="0"/>
          <w:color w:val="000080"/>
          <w:sz w:val="20"/>
          <w:szCs w:val="20"/>
          <w:u w:val="single"/>
          <w:rtl w:val="0"/>
        </w:rPr>
        <w:t xml:space="preserve">/trasparenza</w:t>
      </w:r>
      <w:r w:rsidDel="00000000" w:rsidR="00000000" w:rsidRPr="00000000">
        <w:rPr>
          <w:sz w:val="20"/>
          <w:szCs w:val="20"/>
          <w:rtl w:val="0"/>
        </w:rPr>
        <w:t xml:space="preserve"> al nuovo portale </w:t>
      </w:r>
      <w:hyperlink r:id="rId9">
        <w:r w:rsidDel="00000000" w:rsidR="00000000" w:rsidRPr="00000000">
          <w:rPr>
            <w:color w:val="000080"/>
            <w:sz w:val="20"/>
            <w:szCs w:val="20"/>
            <w:u w:val="single"/>
            <w:rtl w:val="0"/>
          </w:rPr>
          <w:t xml:space="preserve">www.ancitoscana.portaletrasparenza.net</w:t>
        </w:r>
      </w:hyperlink>
      <w:r w:rsidDel="00000000" w:rsidR="00000000" w:rsidRPr="00000000">
        <w:rPr>
          <w:sz w:val="20"/>
          <w:szCs w:val="20"/>
          <w:rtl w:val="0"/>
        </w:rPr>
        <w:t xml:space="preserve">, interamente dedicato ai contenuti della trasparenza. In questa fase di transizione per la consultazione di alcune tipologie di dati può essere necessario consultare entrambi gli indirizzi segnalati.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tillium" w:cs="Titillium" w:eastAsia="Titillium" w:hAnsi="Titillium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tillium" w:cs="Titillium" w:eastAsia="Titillium" w:hAnsi="Titillium"/>
          <w:b w:val="1"/>
          <w:i w:val="1"/>
          <w:sz w:val="20"/>
          <w:szCs w:val="20"/>
        </w:rPr>
      </w:pPr>
      <w:r w:rsidDel="00000000" w:rsidR="00000000" w:rsidRPr="00000000">
        <w:rPr>
          <w:rFonts w:ascii="Titillium" w:cs="Titillium" w:eastAsia="Titillium" w:hAnsi="Titillium"/>
          <w:b w:val="1"/>
          <w:i w:val="1"/>
          <w:sz w:val="20"/>
          <w:szCs w:val="20"/>
          <w:rtl w:val="0"/>
        </w:rPr>
        <w:t xml:space="preserve">Eventuale documentazione da allegare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tillium" w:cs="Titillium" w:eastAsia="Titillium" w:hAnsi="Titillium"/>
          <w:b w:val="0"/>
          <w:i w:val="0"/>
          <w:sz w:val="20"/>
          <w:szCs w:val="20"/>
        </w:rPr>
      </w:pPr>
      <w:r w:rsidDel="00000000" w:rsidR="00000000" w:rsidRPr="00000000">
        <w:rPr>
          <w:rFonts w:ascii="Titillium" w:cs="Titillium" w:eastAsia="Titillium" w:hAnsi="Titillium"/>
          <w:b w:val="0"/>
          <w:i w:val="0"/>
          <w:sz w:val="20"/>
          <w:szCs w:val="20"/>
          <w:rtl w:val="0"/>
        </w:rPr>
        <w:t xml:space="preserve">Nessuna documentazione integrativa</w:t>
      </w:r>
    </w:p>
    <w:p w:rsidR="00000000" w:rsidDel="00000000" w:rsidP="00000000" w:rsidRDefault="00000000" w:rsidRPr="00000000" w14:paraId="00000015">
      <w:pPr>
        <w:spacing w:after="120" w:before="0" w:line="360" w:lineRule="auto"/>
        <w:rPr>
          <w:rFonts w:ascii="Titillium" w:cs="Titillium" w:eastAsia="Titillium" w:hAnsi="Titillium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08" w:top="1417" w:left="1134" w:right="1134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tillium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center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3878"/>
        <w:tab w:val="center" w:pos="4819"/>
        <w:tab w:val="right" w:pos="9638"/>
      </w:tabs>
      <w:spacing w:after="0" w:before="0" w:line="276" w:lineRule="auto"/>
      <w:ind w:left="0" w:right="0" w:firstLine="0"/>
      <w:jc w:val="both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  <w:p w:rsidR="00000000" w:rsidDel="00000000" w:rsidP="00000000" w:rsidRDefault="00000000" w:rsidRPr="00000000" w14:paraId="00000018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tillium" w:cs="Titillium" w:eastAsia="Titillium" w:hAnsi="Titillium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Allegato 3 alla delibera ANAC n. 294/2021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keepNext w:val="1"/>
        <w:widowControl w:val="0"/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  <w:ind w:left="432" w:hanging="432"/>
      <w:jc w:val="center"/>
    </w:pPr>
    <w:rPr>
      <w:b w:val="1"/>
      <w:i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ancitoscana.portaletrasparenza.net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ancitoscana.it/" TargetMode="External"/><Relationship Id="rId8" Type="http://schemas.openxmlformats.org/officeDocument/2006/relationships/hyperlink" Target="http://www.ancitoscana.i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